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4062" w14:textId="6D9F8406" w:rsidR="009A6756" w:rsidRPr="009A6756" w:rsidRDefault="009A6756" w:rsidP="00735B17">
      <w:pPr>
        <w:pStyle w:val="Titel"/>
        <w:jc w:val="both"/>
      </w:pPr>
      <w:r>
        <w:t>Samenvatting v</w:t>
      </w:r>
      <w:r w:rsidRPr="009A6756">
        <w:t>isienota: een nieuw toewijzingsmodel- naar een versterkte samenwerking wonen- welzijn</w:t>
      </w:r>
    </w:p>
    <w:p w14:paraId="5AD59238" w14:textId="77777777" w:rsidR="009A6756" w:rsidRPr="009A6756" w:rsidRDefault="009A6756" w:rsidP="00735B17">
      <w:pPr>
        <w:jc w:val="both"/>
      </w:pPr>
    </w:p>
    <w:p w14:paraId="4E574509" w14:textId="77777777" w:rsidR="009A6756" w:rsidRPr="009A6756" w:rsidRDefault="009A6756" w:rsidP="00735B17">
      <w:pPr>
        <w:jc w:val="both"/>
      </w:pPr>
      <w:r w:rsidRPr="009A6756">
        <w:t xml:space="preserve">Met de vorming van de nieuwe woonmaatschappijen zal op 1 oktober 2023 ook een </w:t>
      </w:r>
      <w:r w:rsidRPr="009A6756">
        <w:rPr>
          <w:b/>
          <w:bCs/>
        </w:rPr>
        <w:t>nieuw toewijzingsmodel</w:t>
      </w:r>
      <w:r w:rsidRPr="009A6756">
        <w:t xml:space="preserve"> in werking treden.  De Vlaamse overheid schetste een breed kader</w:t>
      </w:r>
      <w:r w:rsidRPr="009A6756">
        <w:rPr>
          <w:vertAlign w:val="superscript"/>
        </w:rPr>
        <w:footnoteReference w:id="1"/>
      </w:r>
      <w:r w:rsidRPr="009A6756">
        <w:t xml:space="preserve"> waarmee de toewijzingsraden aan de slag gaan om tot een concrete invulling te komen.  </w:t>
      </w:r>
    </w:p>
    <w:p w14:paraId="55390421" w14:textId="77777777" w:rsidR="009A6756" w:rsidRPr="009A6756" w:rsidRDefault="009A6756" w:rsidP="00735B17">
      <w:pPr>
        <w:jc w:val="both"/>
      </w:pPr>
      <w:r w:rsidRPr="009A6756">
        <w:t>In de toekomst zullen 3 sterke woonmaatschappijen, al dan niet met zonale werkingen in de regio actief zijn.  Zij zullen samen met de lokale besturen richting geven aan het lokale/ zonale woonbeleid.  Aanvullende regionale afstemming vormt op meerdere vlakken een meerwaarde:</w:t>
      </w:r>
    </w:p>
    <w:p w14:paraId="076056C2" w14:textId="77777777" w:rsidR="009A6756" w:rsidRPr="009A6756" w:rsidRDefault="009A6756" w:rsidP="00735B17">
      <w:pPr>
        <w:numPr>
          <w:ilvl w:val="0"/>
          <w:numId w:val="1"/>
        </w:numPr>
        <w:ind w:left="714" w:hanging="357"/>
        <w:contextualSpacing/>
        <w:jc w:val="both"/>
      </w:pPr>
      <w:r w:rsidRPr="009A6756">
        <w:t xml:space="preserve">De </w:t>
      </w:r>
      <w:r w:rsidRPr="009A6756">
        <w:rPr>
          <w:b/>
          <w:bCs/>
        </w:rPr>
        <w:t>werkingsgebieden</w:t>
      </w:r>
      <w:r w:rsidRPr="009A6756">
        <w:t xml:space="preserve"> van de welzijnsactoren vallen niet (altijd) samen met de werkingsgebieden van de toekomstige woonmaatschappijen.  Bovendien hebben sommige entiteiten een </w:t>
      </w:r>
      <w:r w:rsidRPr="009A6756">
        <w:rPr>
          <w:b/>
          <w:bCs/>
        </w:rPr>
        <w:t>regionale functie</w:t>
      </w:r>
      <w:r w:rsidRPr="009A6756">
        <w:t xml:space="preserve"> (bv. OPZ Geel, PAAZ, sociale opvang CAW De Kempen,…).  Te grote verschillen tussen de woonactoren verhogen op deze manier de </w:t>
      </w:r>
      <w:r w:rsidRPr="009A6756">
        <w:rPr>
          <w:b/>
          <w:bCs/>
        </w:rPr>
        <w:t>(administratieve) werklast</w:t>
      </w:r>
      <w:r w:rsidRPr="009A6756">
        <w:t xml:space="preserve"> voor deze organisaties.  Deze afstemming vergemakkelijkt ook de dialoog tussen welzijns- en woonactoren.</w:t>
      </w:r>
    </w:p>
    <w:p w14:paraId="15ED121E" w14:textId="77777777" w:rsidR="009A6756" w:rsidRPr="009A6756" w:rsidRDefault="009A6756" w:rsidP="00735B17">
      <w:pPr>
        <w:numPr>
          <w:ilvl w:val="0"/>
          <w:numId w:val="1"/>
        </w:numPr>
        <w:ind w:left="714" w:hanging="357"/>
        <w:contextualSpacing/>
        <w:jc w:val="both"/>
      </w:pPr>
      <w:r w:rsidRPr="009A6756">
        <w:t xml:space="preserve">Door af te stemmen vermijden we dat cliënten gaan </w:t>
      </w:r>
      <w:r w:rsidRPr="009A6756">
        <w:rPr>
          <w:b/>
          <w:bCs/>
        </w:rPr>
        <w:t>shoppen</w:t>
      </w:r>
      <w:r w:rsidRPr="009A6756">
        <w:t xml:space="preserve"> tussen woonmaatschappijen.</w:t>
      </w:r>
    </w:p>
    <w:p w14:paraId="42DCC0DF" w14:textId="77777777" w:rsidR="009A6756" w:rsidRPr="009A6756" w:rsidRDefault="009A6756" w:rsidP="00735B17">
      <w:pPr>
        <w:numPr>
          <w:ilvl w:val="0"/>
          <w:numId w:val="1"/>
        </w:numPr>
        <w:ind w:left="714" w:hanging="357"/>
        <w:contextualSpacing/>
        <w:jc w:val="both"/>
      </w:pPr>
      <w:r w:rsidRPr="009A6756">
        <w:t xml:space="preserve">Transparante afspraken verhogen het </w:t>
      </w:r>
      <w:r w:rsidRPr="009A6756">
        <w:rPr>
          <w:b/>
          <w:bCs/>
        </w:rPr>
        <w:t>draagvlak en (lokale) actiebereidheid</w:t>
      </w:r>
      <w:r w:rsidRPr="009A6756">
        <w:t xml:space="preserve"> bij alle partners.  </w:t>
      </w:r>
    </w:p>
    <w:p w14:paraId="29DFF8CA" w14:textId="77777777" w:rsidR="009A6756" w:rsidRPr="009A6756" w:rsidRDefault="009A6756" w:rsidP="00735B17">
      <w:pPr>
        <w:numPr>
          <w:ilvl w:val="0"/>
          <w:numId w:val="1"/>
        </w:numPr>
        <w:ind w:left="714" w:hanging="357"/>
        <w:contextualSpacing/>
        <w:jc w:val="both"/>
      </w:pPr>
      <w:r w:rsidRPr="009A6756">
        <w:t xml:space="preserve">Gezamenlijke keuzes kunnen beletten dat (ongewild) zwaardere profielen op een bepaalde zone </w:t>
      </w:r>
      <w:r w:rsidRPr="009A6756">
        <w:rPr>
          <w:b/>
          <w:bCs/>
        </w:rPr>
        <w:t>afgewenteld</w:t>
      </w:r>
      <w:r w:rsidRPr="009A6756">
        <w:t xml:space="preserve"> worden (cf. spreiding </w:t>
      </w:r>
      <w:proofErr w:type="spellStart"/>
      <w:r w:rsidRPr="009A6756">
        <w:t>housing</w:t>
      </w:r>
      <w:proofErr w:type="spellEnd"/>
      <w:r w:rsidRPr="009A6756">
        <w:t xml:space="preserve"> first).  En het zorgt ervoor dat huurders </w:t>
      </w:r>
      <w:r w:rsidRPr="009A6756">
        <w:rPr>
          <w:b/>
          <w:bCs/>
        </w:rPr>
        <w:t>passende begeleiding krijgen in hun eigen regio</w:t>
      </w:r>
      <w:r w:rsidRPr="009A6756">
        <w:t>.</w:t>
      </w:r>
    </w:p>
    <w:p w14:paraId="105825B1" w14:textId="77777777" w:rsidR="009A6756" w:rsidRPr="009A6756" w:rsidRDefault="009A6756" w:rsidP="00735B17">
      <w:pPr>
        <w:numPr>
          <w:ilvl w:val="0"/>
          <w:numId w:val="1"/>
        </w:numPr>
        <w:ind w:left="714" w:hanging="357"/>
        <w:contextualSpacing/>
        <w:jc w:val="both"/>
      </w:pPr>
      <w:r w:rsidRPr="009A6756">
        <w:t xml:space="preserve">Het vergemakkelijkt de </w:t>
      </w:r>
      <w:r w:rsidRPr="009A6756">
        <w:rPr>
          <w:b/>
          <w:bCs/>
        </w:rPr>
        <w:t>intersectorale samenwerking</w:t>
      </w:r>
      <w:r w:rsidRPr="009A6756">
        <w:t xml:space="preserve"> en kan </w:t>
      </w:r>
      <w:r w:rsidRPr="009A6756">
        <w:rPr>
          <w:b/>
          <w:bCs/>
        </w:rPr>
        <w:t>innovatieve woon- en begeleidingsinitiatieven</w:t>
      </w:r>
      <w:r w:rsidRPr="009A6756">
        <w:t xml:space="preserve"> in de toekomst faciliteren.  </w:t>
      </w:r>
    </w:p>
    <w:p w14:paraId="020E3C6D" w14:textId="2A06171A" w:rsidR="00835B49" w:rsidRDefault="009A6756" w:rsidP="00735B17">
      <w:pPr>
        <w:jc w:val="both"/>
      </w:pPr>
      <w:r w:rsidRPr="009A6756">
        <w:t xml:space="preserve">Dit staat </w:t>
      </w:r>
      <w:r w:rsidRPr="009A6756">
        <w:rPr>
          <w:b/>
          <w:bCs/>
        </w:rPr>
        <w:t>lokale samenwerkingen</w:t>
      </w:r>
      <w:r w:rsidRPr="009A6756">
        <w:t xml:space="preserve"> zeker niet in de weg.  </w:t>
      </w:r>
      <w:r>
        <w:t xml:space="preserve">Integendeel, regionale afstemming kan het lokale sociale woonbeleid versterken.  </w:t>
      </w:r>
    </w:p>
    <w:p w14:paraId="5AC45C79" w14:textId="5D4DBBB5" w:rsidR="009A6756" w:rsidRDefault="009A6756" w:rsidP="00735B17">
      <w:pPr>
        <w:jc w:val="both"/>
      </w:pPr>
      <w:r>
        <w:t>De regelgeving stelt dat gemeenteraden het ontwerp van toewijzingsregelement kunnen amenderen betreffende:</w:t>
      </w:r>
    </w:p>
    <w:p w14:paraId="0A26ECCB" w14:textId="3FDAAA19" w:rsidR="009A6756" w:rsidRDefault="009A6756" w:rsidP="00735B17">
      <w:pPr>
        <w:pStyle w:val="Lijstalinea"/>
        <w:numPr>
          <w:ilvl w:val="0"/>
          <w:numId w:val="1"/>
        </w:numPr>
        <w:jc w:val="both"/>
      </w:pPr>
      <w:r>
        <w:t>Een strengere woonbinding binnen pijler 1 en 3</w:t>
      </w:r>
    </w:p>
    <w:p w14:paraId="42BC46D7" w14:textId="46B11111" w:rsidR="009A6756" w:rsidRDefault="009A6756" w:rsidP="00735B17">
      <w:pPr>
        <w:pStyle w:val="Lijstalinea"/>
        <w:numPr>
          <w:ilvl w:val="0"/>
          <w:numId w:val="1"/>
        </w:numPr>
        <w:jc w:val="both"/>
      </w:pPr>
      <w:r>
        <w:t>De toewijzing aan specifieke doelgroepen in pijler 3</w:t>
      </w:r>
    </w:p>
    <w:p w14:paraId="11E8A41A" w14:textId="39C5A4E8" w:rsidR="009A6756" w:rsidRDefault="009A6756" w:rsidP="00735B17">
      <w:pPr>
        <w:jc w:val="both"/>
      </w:pPr>
      <w:r>
        <w:t>Verder informeren de toewijzingsraad en de woonmaatschappij de gemeenteraden over de manier van toewijzen in pijler 2.</w:t>
      </w:r>
    </w:p>
    <w:p w14:paraId="7EEF7F13" w14:textId="75B82B91" w:rsidR="009A6756" w:rsidRDefault="00794B1B" w:rsidP="00735B17">
      <w:pPr>
        <w:pStyle w:val="Kop1"/>
        <w:jc w:val="both"/>
      </w:pPr>
      <w:r>
        <w:t>Pijler 2: versnelde toewijzingen</w:t>
      </w:r>
    </w:p>
    <w:p w14:paraId="356C5070" w14:textId="78DE2D16" w:rsidR="00794B1B" w:rsidRDefault="00794B1B" w:rsidP="00735B17">
      <w:pPr>
        <w:jc w:val="both"/>
      </w:pPr>
      <w:r>
        <w:t>De regelgeving stelt dat jaarlijks 20% van de toewijzingen aan kwetsbare doelgroepen in pijler 2 dienen te gebeuren.  De werkgroep stelt voor om de toewijzingen te doen op volgen</w:t>
      </w:r>
      <w:r w:rsidR="001F0C04">
        <w:t>s een objectief en transparant wegingskader dat werkt met volgend</w:t>
      </w:r>
      <w:r>
        <w:t>e criteria:</w:t>
      </w:r>
    </w:p>
    <w:p w14:paraId="3238E168" w14:textId="63214BE7" w:rsidR="00794B1B" w:rsidRDefault="00794B1B" w:rsidP="00735B17">
      <w:pPr>
        <w:pStyle w:val="Lijstalinea"/>
        <w:numPr>
          <w:ilvl w:val="0"/>
          <w:numId w:val="2"/>
        </w:numPr>
        <w:jc w:val="both"/>
      </w:pPr>
      <w:r>
        <w:lastRenderedPageBreak/>
        <w:t>Actuele woonnood</w:t>
      </w:r>
    </w:p>
    <w:p w14:paraId="354FA6DC" w14:textId="7E3DFAB7" w:rsidR="00794B1B" w:rsidRDefault="00794B1B" w:rsidP="00735B17">
      <w:pPr>
        <w:pStyle w:val="Lijstalinea"/>
        <w:numPr>
          <w:ilvl w:val="0"/>
          <w:numId w:val="2"/>
        </w:numPr>
        <w:jc w:val="both"/>
      </w:pPr>
      <w:r>
        <w:t>Actueel inkomen</w:t>
      </w:r>
    </w:p>
    <w:p w14:paraId="2AC8462D" w14:textId="436D626B" w:rsidR="00794B1B" w:rsidRDefault="00794B1B" w:rsidP="00735B17">
      <w:pPr>
        <w:pStyle w:val="Lijstalinea"/>
        <w:numPr>
          <w:ilvl w:val="0"/>
          <w:numId w:val="2"/>
        </w:numPr>
        <w:jc w:val="both"/>
      </w:pPr>
      <w:r>
        <w:t>Begeleiding door professioneel netwerk</w:t>
      </w:r>
    </w:p>
    <w:p w14:paraId="5665889F" w14:textId="14C81CFA" w:rsidR="00794B1B" w:rsidRDefault="00794B1B" w:rsidP="00735B17">
      <w:pPr>
        <w:pStyle w:val="Lijstalinea"/>
        <w:numPr>
          <w:ilvl w:val="0"/>
          <w:numId w:val="2"/>
        </w:numPr>
        <w:jc w:val="both"/>
      </w:pPr>
      <w:r>
        <w:t>Kinderlast</w:t>
      </w:r>
    </w:p>
    <w:p w14:paraId="5C0C4D01" w14:textId="13410697" w:rsidR="00794B1B" w:rsidRDefault="00794B1B" w:rsidP="00735B17">
      <w:pPr>
        <w:pStyle w:val="Lijstalinea"/>
        <w:numPr>
          <w:ilvl w:val="0"/>
          <w:numId w:val="2"/>
        </w:numPr>
        <w:jc w:val="both"/>
      </w:pPr>
      <w:r>
        <w:t xml:space="preserve">Chronologie </w:t>
      </w:r>
    </w:p>
    <w:p w14:paraId="40A69716" w14:textId="4CF3AA25" w:rsidR="00794B1B" w:rsidRDefault="00794B1B" w:rsidP="00735B17">
      <w:pPr>
        <w:pStyle w:val="Kop1"/>
        <w:jc w:val="both"/>
      </w:pPr>
      <w:r>
        <w:t>Pijler 3: specifieke doelgroepen</w:t>
      </w:r>
    </w:p>
    <w:p w14:paraId="3AD33811" w14:textId="00984540" w:rsidR="00794B1B" w:rsidRDefault="00794B1B" w:rsidP="00735B17">
      <w:pPr>
        <w:jc w:val="both"/>
      </w:pPr>
      <w:r>
        <w:t>Met het beperken van pijler 2 tot 20% van de toewijzing zullen er in de Kempen minder kwetsbare kandidaat- huurder toegewezen kunnen worden.  Dit zal een bijkomende druk</w:t>
      </w:r>
      <w:r w:rsidR="00A02D0F">
        <w:t xml:space="preserve"> op de nu al overbevraagde welzijnsdiensten met zich mee brengen.  Daarom stelt de regionale werkgroep voor om, naast nu al bestaande lokale doelgroepen, in te zetten op 3 bijkomende (regionale) doelgroepen nl.:</w:t>
      </w:r>
    </w:p>
    <w:p w14:paraId="6CA54E29" w14:textId="1317CFC1" w:rsidR="00A02D0F" w:rsidRDefault="00A02D0F" w:rsidP="00735B17">
      <w:pPr>
        <w:pStyle w:val="Lijstalinea"/>
        <w:numPr>
          <w:ilvl w:val="0"/>
          <w:numId w:val="1"/>
        </w:numPr>
        <w:jc w:val="both"/>
      </w:pPr>
      <w:proofErr w:type="spellStart"/>
      <w:r>
        <w:t>Housing</w:t>
      </w:r>
      <w:proofErr w:type="spellEnd"/>
      <w:r>
        <w:t xml:space="preserve"> first</w:t>
      </w:r>
    </w:p>
    <w:p w14:paraId="1389CC4C" w14:textId="494760BD" w:rsidR="00A02D0F" w:rsidRDefault="00A02D0F" w:rsidP="00735B17">
      <w:pPr>
        <w:pStyle w:val="Lijstalinea"/>
        <w:numPr>
          <w:ilvl w:val="0"/>
          <w:numId w:val="1"/>
        </w:numPr>
        <w:jc w:val="both"/>
      </w:pPr>
      <w:r>
        <w:t xml:space="preserve">Doorstromers uit residentiële </w:t>
      </w:r>
      <w:proofErr w:type="spellStart"/>
      <w:r>
        <w:t>settings</w:t>
      </w:r>
      <w:proofErr w:type="spellEnd"/>
    </w:p>
    <w:p w14:paraId="52570D8C" w14:textId="2F1F7D69" w:rsidR="00A02D0F" w:rsidRDefault="00A02D0F" w:rsidP="00735B17">
      <w:pPr>
        <w:pStyle w:val="Lijstalinea"/>
        <w:numPr>
          <w:ilvl w:val="0"/>
          <w:numId w:val="1"/>
        </w:numPr>
        <w:jc w:val="both"/>
      </w:pPr>
      <w:r>
        <w:t>Gezinnen in kansarmoede</w:t>
      </w:r>
    </w:p>
    <w:p w14:paraId="661AFFE1" w14:textId="7E3F3615" w:rsidR="00A02D0F" w:rsidRDefault="00A02D0F" w:rsidP="00735B17">
      <w:pPr>
        <w:jc w:val="both"/>
      </w:pPr>
      <w:r>
        <w:t>Aan de hand van onderstaande verdeelsleutel (o.b.v. het aantal sociale huurwoningen) komen we tot volgende opdeling:</w:t>
      </w:r>
    </w:p>
    <w:tbl>
      <w:tblPr>
        <w:tblW w:w="9788" w:type="dxa"/>
        <w:tblInd w:w="-567" w:type="dxa"/>
        <w:tblCellMar>
          <w:left w:w="70" w:type="dxa"/>
          <w:right w:w="70" w:type="dxa"/>
        </w:tblCellMar>
        <w:tblLook w:val="04A0" w:firstRow="1" w:lastRow="0" w:firstColumn="1" w:lastColumn="0" w:noHBand="0" w:noVBand="1"/>
      </w:tblPr>
      <w:tblGrid>
        <w:gridCol w:w="2028"/>
        <w:gridCol w:w="1698"/>
        <w:gridCol w:w="1150"/>
        <w:gridCol w:w="1132"/>
        <w:gridCol w:w="1406"/>
        <w:gridCol w:w="2374"/>
      </w:tblGrid>
      <w:tr w:rsidR="00A02D0F" w:rsidRPr="00A02D0F" w14:paraId="16413D76" w14:textId="77777777" w:rsidTr="00A02D0F">
        <w:trPr>
          <w:trHeight w:val="253"/>
        </w:trPr>
        <w:tc>
          <w:tcPr>
            <w:tcW w:w="2028" w:type="dxa"/>
            <w:tcBorders>
              <w:top w:val="nil"/>
              <w:left w:val="nil"/>
              <w:bottom w:val="nil"/>
              <w:right w:val="nil"/>
            </w:tcBorders>
            <w:shd w:val="clear" w:color="auto" w:fill="auto"/>
            <w:noWrap/>
            <w:vAlign w:val="center"/>
            <w:hideMark/>
          </w:tcPr>
          <w:p w14:paraId="5C19EE82" w14:textId="77777777" w:rsidR="00A02D0F" w:rsidRPr="00A02D0F" w:rsidRDefault="00A02D0F" w:rsidP="00A02D0F"/>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FE284" w14:textId="77777777" w:rsidR="00A02D0F" w:rsidRPr="00A02D0F" w:rsidRDefault="00A02D0F" w:rsidP="00A02D0F">
            <w:r w:rsidRPr="00A02D0F">
              <w:t># sociale huurwoningen</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D01D45E" w14:textId="77777777" w:rsidR="00A02D0F" w:rsidRPr="00A02D0F" w:rsidRDefault="00A02D0F" w:rsidP="00A02D0F">
            <w:r w:rsidRPr="00A02D0F">
              <w:t xml:space="preserve">Percentage </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5A3D01FF" w14:textId="77777777" w:rsidR="00A02D0F" w:rsidRPr="00A02D0F" w:rsidRDefault="00A02D0F" w:rsidP="00A02D0F">
            <w:proofErr w:type="spellStart"/>
            <w:r w:rsidRPr="00A02D0F">
              <w:t>Housing</w:t>
            </w:r>
            <w:proofErr w:type="spellEnd"/>
            <w:r w:rsidRPr="00A02D0F">
              <w:t xml:space="preserve"> first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71828A65" w14:textId="77777777" w:rsidR="00A02D0F" w:rsidRPr="00A02D0F" w:rsidRDefault="00A02D0F" w:rsidP="00A02D0F">
            <w:r w:rsidRPr="00A02D0F">
              <w:t>Doorstromers</w:t>
            </w:r>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38044113" w14:textId="77777777" w:rsidR="00A02D0F" w:rsidRPr="00A02D0F" w:rsidRDefault="00A02D0F" w:rsidP="00A02D0F">
            <w:r w:rsidRPr="00A02D0F">
              <w:t>Gezinnen in kansarmoede</w:t>
            </w:r>
          </w:p>
        </w:tc>
      </w:tr>
      <w:tr w:rsidR="00A02D0F" w:rsidRPr="00A02D0F" w14:paraId="16F688C2" w14:textId="77777777" w:rsidTr="00A02D0F">
        <w:trPr>
          <w:trHeight w:val="253"/>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F9D40" w14:textId="77777777" w:rsidR="00A02D0F" w:rsidRPr="00A02D0F" w:rsidRDefault="00A02D0F" w:rsidP="00A02D0F">
            <w:r w:rsidRPr="00A02D0F">
              <w:t>DNK</w:t>
            </w:r>
          </w:p>
        </w:tc>
        <w:tc>
          <w:tcPr>
            <w:tcW w:w="1698" w:type="dxa"/>
            <w:tcBorders>
              <w:top w:val="nil"/>
              <w:left w:val="nil"/>
              <w:bottom w:val="single" w:sz="4" w:space="0" w:color="auto"/>
              <w:right w:val="single" w:sz="4" w:space="0" w:color="auto"/>
            </w:tcBorders>
            <w:shd w:val="clear" w:color="auto" w:fill="auto"/>
            <w:noWrap/>
            <w:vAlign w:val="center"/>
            <w:hideMark/>
          </w:tcPr>
          <w:p w14:paraId="20A081BC" w14:textId="77777777" w:rsidR="00A02D0F" w:rsidRPr="00A02D0F" w:rsidRDefault="00A02D0F" w:rsidP="00A02D0F">
            <w:r w:rsidRPr="00A02D0F">
              <w:t>1.597</w:t>
            </w:r>
          </w:p>
        </w:tc>
        <w:tc>
          <w:tcPr>
            <w:tcW w:w="1150" w:type="dxa"/>
            <w:tcBorders>
              <w:top w:val="nil"/>
              <w:left w:val="nil"/>
              <w:bottom w:val="single" w:sz="4" w:space="0" w:color="auto"/>
              <w:right w:val="single" w:sz="4" w:space="0" w:color="auto"/>
            </w:tcBorders>
            <w:shd w:val="clear" w:color="auto" w:fill="auto"/>
            <w:noWrap/>
            <w:vAlign w:val="bottom"/>
            <w:hideMark/>
          </w:tcPr>
          <w:p w14:paraId="489DC8D6" w14:textId="77777777" w:rsidR="00A02D0F" w:rsidRPr="00A02D0F" w:rsidRDefault="00A02D0F" w:rsidP="00A02D0F">
            <w:r w:rsidRPr="00A02D0F">
              <w:t>14</w:t>
            </w:r>
          </w:p>
        </w:tc>
        <w:tc>
          <w:tcPr>
            <w:tcW w:w="1132" w:type="dxa"/>
            <w:tcBorders>
              <w:top w:val="nil"/>
              <w:left w:val="nil"/>
              <w:bottom w:val="single" w:sz="4" w:space="0" w:color="auto"/>
              <w:right w:val="single" w:sz="4" w:space="0" w:color="auto"/>
            </w:tcBorders>
            <w:shd w:val="clear" w:color="auto" w:fill="auto"/>
            <w:noWrap/>
            <w:vAlign w:val="bottom"/>
            <w:hideMark/>
          </w:tcPr>
          <w:p w14:paraId="682E94C7" w14:textId="77777777" w:rsidR="00A02D0F" w:rsidRPr="00A02D0F" w:rsidRDefault="00A02D0F" w:rsidP="00A02D0F">
            <w:r w:rsidRPr="00A02D0F">
              <w:t>1</w:t>
            </w:r>
          </w:p>
        </w:tc>
        <w:tc>
          <w:tcPr>
            <w:tcW w:w="1406" w:type="dxa"/>
            <w:tcBorders>
              <w:top w:val="nil"/>
              <w:left w:val="nil"/>
              <w:bottom w:val="single" w:sz="4" w:space="0" w:color="auto"/>
              <w:right w:val="single" w:sz="4" w:space="0" w:color="auto"/>
            </w:tcBorders>
            <w:shd w:val="clear" w:color="auto" w:fill="auto"/>
            <w:noWrap/>
            <w:vAlign w:val="bottom"/>
            <w:hideMark/>
          </w:tcPr>
          <w:p w14:paraId="5E0E8ABB" w14:textId="77777777" w:rsidR="00A02D0F" w:rsidRPr="00A02D0F" w:rsidRDefault="00A02D0F" w:rsidP="00A02D0F">
            <w:r w:rsidRPr="00A02D0F">
              <w:t>14</w:t>
            </w:r>
          </w:p>
        </w:tc>
        <w:tc>
          <w:tcPr>
            <w:tcW w:w="2374" w:type="dxa"/>
            <w:tcBorders>
              <w:top w:val="nil"/>
              <w:left w:val="nil"/>
              <w:bottom w:val="single" w:sz="4" w:space="0" w:color="auto"/>
              <w:right w:val="single" w:sz="4" w:space="0" w:color="auto"/>
            </w:tcBorders>
            <w:shd w:val="clear" w:color="auto" w:fill="auto"/>
            <w:noWrap/>
            <w:vAlign w:val="bottom"/>
            <w:hideMark/>
          </w:tcPr>
          <w:p w14:paraId="6EED0C1C" w14:textId="77777777" w:rsidR="00A02D0F" w:rsidRPr="00A02D0F" w:rsidRDefault="00A02D0F" w:rsidP="00A02D0F">
            <w:r w:rsidRPr="00A02D0F">
              <w:t>6</w:t>
            </w:r>
          </w:p>
        </w:tc>
      </w:tr>
      <w:tr w:rsidR="00A02D0F" w:rsidRPr="00A02D0F" w14:paraId="6481D20C" w14:textId="77777777" w:rsidTr="00A02D0F">
        <w:trPr>
          <w:trHeight w:val="507"/>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14:paraId="0AE93440" w14:textId="77777777" w:rsidR="00A02D0F" w:rsidRPr="00A02D0F" w:rsidRDefault="00A02D0F" w:rsidP="00A02D0F">
            <w:r w:rsidRPr="00A02D0F">
              <w:t>Woonboog</w:t>
            </w:r>
          </w:p>
        </w:tc>
        <w:tc>
          <w:tcPr>
            <w:tcW w:w="1698" w:type="dxa"/>
            <w:tcBorders>
              <w:top w:val="nil"/>
              <w:left w:val="nil"/>
              <w:bottom w:val="single" w:sz="4" w:space="0" w:color="auto"/>
              <w:right w:val="single" w:sz="4" w:space="0" w:color="auto"/>
            </w:tcBorders>
            <w:shd w:val="clear" w:color="auto" w:fill="auto"/>
            <w:noWrap/>
            <w:vAlign w:val="center"/>
            <w:hideMark/>
          </w:tcPr>
          <w:p w14:paraId="2F863073" w14:textId="77777777" w:rsidR="00A02D0F" w:rsidRPr="00A02D0F" w:rsidRDefault="00A02D0F" w:rsidP="00A02D0F">
            <w:r w:rsidRPr="00A02D0F">
              <w:t>4.748</w:t>
            </w:r>
          </w:p>
        </w:tc>
        <w:tc>
          <w:tcPr>
            <w:tcW w:w="1150" w:type="dxa"/>
            <w:tcBorders>
              <w:top w:val="nil"/>
              <w:left w:val="nil"/>
              <w:bottom w:val="single" w:sz="4" w:space="0" w:color="auto"/>
              <w:right w:val="single" w:sz="4" w:space="0" w:color="auto"/>
            </w:tcBorders>
            <w:shd w:val="clear" w:color="auto" w:fill="auto"/>
            <w:noWrap/>
            <w:vAlign w:val="bottom"/>
            <w:hideMark/>
          </w:tcPr>
          <w:p w14:paraId="49FD8444" w14:textId="77777777" w:rsidR="00A02D0F" w:rsidRPr="00A02D0F" w:rsidRDefault="00A02D0F" w:rsidP="00A02D0F">
            <w:r w:rsidRPr="00A02D0F">
              <w:t>42</w:t>
            </w:r>
          </w:p>
        </w:tc>
        <w:tc>
          <w:tcPr>
            <w:tcW w:w="1132" w:type="dxa"/>
            <w:tcBorders>
              <w:top w:val="nil"/>
              <w:left w:val="nil"/>
              <w:bottom w:val="single" w:sz="4" w:space="0" w:color="auto"/>
              <w:right w:val="single" w:sz="4" w:space="0" w:color="auto"/>
            </w:tcBorders>
            <w:shd w:val="clear" w:color="auto" w:fill="auto"/>
            <w:noWrap/>
            <w:vAlign w:val="bottom"/>
            <w:hideMark/>
          </w:tcPr>
          <w:p w14:paraId="1DC81267" w14:textId="77777777" w:rsidR="00A02D0F" w:rsidRPr="00A02D0F" w:rsidRDefault="00A02D0F" w:rsidP="00A02D0F">
            <w:r w:rsidRPr="00A02D0F">
              <w:t>4</w:t>
            </w:r>
          </w:p>
        </w:tc>
        <w:tc>
          <w:tcPr>
            <w:tcW w:w="1406" w:type="dxa"/>
            <w:tcBorders>
              <w:top w:val="nil"/>
              <w:left w:val="nil"/>
              <w:bottom w:val="single" w:sz="4" w:space="0" w:color="auto"/>
              <w:right w:val="single" w:sz="4" w:space="0" w:color="auto"/>
            </w:tcBorders>
            <w:shd w:val="clear" w:color="auto" w:fill="auto"/>
            <w:noWrap/>
            <w:vAlign w:val="bottom"/>
            <w:hideMark/>
          </w:tcPr>
          <w:p w14:paraId="1F76A9E6" w14:textId="77777777" w:rsidR="00A02D0F" w:rsidRPr="00A02D0F" w:rsidRDefault="00A02D0F" w:rsidP="00A02D0F">
            <w:r w:rsidRPr="00A02D0F">
              <w:t>41</w:t>
            </w:r>
          </w:p>
        </w:tc>
        <w:tc>
          <w:tcPr>
            <w:tcW w:w="2374" w:type="dxa"/>
            <w:tcBorders>
              <w:top w:val="nil"/>
              <w:left w:val="nil"/>
              <w:bottom w:val="single" w:sz="4" w:space="0" w:color="auto"/>
              <w:right w:val="single" w:sz="4" w:space="0" w:color="auto"/>
            </w:tcBorders>
            <w:shd w:val="clear" w:color="auto" w:fill="auto"/>
            <w:noWrap/>
            <w:vAlign w:val="bottom"/>
            <w:hideMark/>
          </w:tcPr>
          <w:p w14:paraId="2660A40A" w14:textId="77777777" w:rsidR="00A02D0F" w:rsidRPr="00A02D0F" w:rsidRDefault="00A02D0F" w:rsidP="00A02D0F">
            <w:r w:rsidRPr="00A02D0F">
              <w:t>18</w:t>
            </w:r>
          </w:p>
        </w:tc>
      </w:tr>
      <w:tr w:rsidR="00A02D0F" w:rsidRPr="00A02D0F" w14:paraId="6C3E2F5D" w14:textId="77777777" w:rsidTr="00A02D0F">
        <w:trPr>
          <w:trHeight w:val="253"/>
        </w:trPr>
        <w:tc>
          <w:tcPr>
            <w:tcW w:w="2028" w:type="dxa"/>
            <w:tcBorders>
              <w:top w:val="nil"/>
              <w:left w:val="single" w:sz="4" w:space="0" w:color="auto"/>
              <w:bottom w:val="single" w:sz="4" w:space="0" w:color="auto"/>
              <w:right w:val="single" w:sz="4" w:space="0" w:color="auto"/>
            </w:tcBorders>
            <w:shd w:val="clear" w:color="000000" w:fill="D9D9D9"/>
            <w:noWrap/>
            <w:vAlign w:val="center"/>
            <w:hideMark/>
          </w:tcPr>
          <w:p w14:paraId="6363FBF6" w14:textId="77777777" w:rsidR="00A02D0F" w:rsidRPr="00A02D0F" w:rsidRDefault="00A02D0F" w:rsidP="00A02D0F">
            <w:r w:rsidRPr="00A02D0F">
              <w:t>Baldemore</w:t>
            </w:r>
          </w:p>
        </w:tc>
        <w:tc>
          <w:tcPr>
            <w:tcW w:w="1698" w:type="dxa"/>
            <w:tcBorders>
              <w:top w:val="nil"/>
              <w:left w:val="nil"/>
              <w:bottom w:val="single" w:sz="4" w:space="0" w:color="auto"/>
              <w:right w:val="single" w:sz="4" w:space="0" w:color="auto"/>
            </w:tcBorders>
            <w:shd w:val="clear" w:color="000000" w:fill="D9D9D9"/>
            <w:noWrap/>
            <w:vAlign w:val="center"/>
            <w:hideMark/>
          </w:tcPr>
          <w:p w14:paraId="0DC5F1E6" w14:textId="77777777" w:rsidR="00A02D0F" w:rsidRPr="00A02D0F" w:rsidRDefault="00A02D0F" w:rsidP="00A02D0F">
            <w:r w:rsidRPr="00A02D0F">
              <w:t>1.612</w:t>
            </w:r>
          </w:p>
        </w:tc>
        <w:tc>
          <w:tcPr>
            <w:tcW w:w="1150" w:type="dxa"/>
            <w:tcBorders>
              <w:top w:val="nil"/>
              <w:left w:val="nil"/>
              <w:bottom w:val="single" w:sz="4" w:space="0" w:color="auto"/>
              <w:right w:val="single" w:sz="4" w:space="0" w:color="auto"/>
            </w:tcBorders>
            <w:shd w:val="clear" w:color="000000" w:fill="D9D9D9"/>
            <w:noWrap/>
            <w:vAlign w:val="bottom"/>
            <w:hideMark/>
          </w:tcPr>
          <w:p w14:paraId="7DDDBCBF" w14:textId="77777777" w:rsidR="00A02D0F" w:rsidRPr="00A02D0F" w:rsidRDefault="00A02D0F" w:rsidP="00A02D0F">
            <w:r w:rsidRPr="00A02D0F">
              <w:t>14</w:t>
            </w:r>
          </w:p>
        </w:tc>
        <w:tc>
          <w:tcPr>
            <w:tcW w:w="1132" w:type="dxa"/>
            <w:tcBorders>
              <w:top w:val="nil"/>
              <w:left w:val="nil"/>
              <w:bottom w:val="single" w:sz="4" w:space="0" w:color="auto"/>
              <w:right w:val="single" w:sz="4" w:space="0" w:color="auto"/>
            </w:tcBorders>
            <w:shd w:val="clear" w:color="000000" w:fill="D9D9D9"/>
            <w:noWrap/>
            <w:vAlign w:val="bottom"/>
            <w:hideMark/>
          </w:tcPr>
          <w:p w14:paraId="3E9EF46E" w14:textId="77777777" w:rsidR="00A02D0F" w:rsidRPr="00A02D0F" w:rsidRDefault="00A02D0F" w:rsidP="00A02D0F">
            <w:r w:rsidRPr="00A02D0F">
              <w:t>1</w:t>
            </w:r>
          </w:p>
        </w:tc>
        <w:tc>
          <w:tcPr>
            <w:tcW w:w="1406" w:type="dxa"/>
            <w:tcBorders>
              <w:top w:val="nil"/>
              <w:left w:val="nil"/>
              <w:bottom w:val="single" w:sz="4" w:space="0" w:color="auto"/>
              <w:right w:val="single" w:sz="4" w:space="0" w:color="auto"/>
            </w:tcBorders>
            <w:shd w:val="clear" w:color="000000" w:fill="D9D9D9"/>
            <w:noWrap/>
            <w:vAlign w:val="bottom"/>
            <w:hideMark/>
          </w:tcPr>
          <w:p w14:paraId="73140257" w14:textId="77777777" w:rsidR="00A02D0F" w:rsidRPr="00A02D0F" w:rsidRDefault="00A02D0F" w:rsidP="00A02D0F">
            <w:r w:rsidRPr="00A02D0F">
              <w:t>14</w:t>
            </w:r>
          </w:p>
        </w:tc>
        <w:tc>
          <w:tcPr>
            <w:tcW w:w="2374" w:type="dxa"/>
            <w:tcBorders>
              <w:top w:val="nil"/>
              <w:left w:val="nil"/>
              <w:bottom w:val="single" w:sz="4" w:space="0" w:color="auto"/>
              <w:right w:val="single" w:sz="4" w:space="0" w:color="auto"/>
            </w:tcBorders>
            <w:shd w:val="clear" w:color="000000" w:fill="D9D9D9"/>
            <w:noWrap/>
            <w:vAlign w:val="bottom"/>
            <w:hideMark/>
          </w:tcPr>
          <w:p w14:paraId="61AAB066" w14:textId="77777777" w:rsidR="00A02D0F" w:rsidRPr="00A02D0F" w:rsidRDefault="00A02D0F" w:rsidP="00A02D0F">
            <w:r w:rsidRPr="00A02D0F">
              <w:t>6</w:t>
            </w:r>
          </w:p>
        </w:tc>
      </w:tr>
      <w:tr w:rsidR="00A02D0F" w:rsidRPr="00A02D0F" w14:paraId="7E6D99C8" w14:textId="77777777" w:rsidTr="00A02D0F">
        <w:trPr>
          <w:trHeight w:val="253"/>
        </w:trPr>
        <w:tc>
          <w:tcPr>
            <w:tcW w:w="2028" w:type="dxa"/>
            <w:tcBorders>
              <w:top w:val="nil"/>
              <w:left w:val="single" w:sz="4" w:space="0" w:color="auto"/>
              <w:bottom w:val="single" w:sz="4" w:space="0" w:color="auto"/>
              <w:right w:val="single" w:sz="4" w:space="0" w:color="auto"/>
            </w:tcBorders>
            <w:shd w:val="clear" w:color="000000" w:fill="D9D9D9"/>
            <w:noWrap/>
            <w:vAlign w:val="center"/>
            <w:hideMark/>
          </w:tcPr>
          <w:p w14:paraId="28ABFBB9" w14:textId="77777777" w:rsidR="00A02D0F" w:rsidRPr="00A02D0F" w:rsidRDefault="00A02D0F" w:rsidP="00A02D0F">
            <w:proofErr w:type="spellStart"/>
            <w:r w:rsidRPr="00A02D0F">
              <w:t>RiT</w:t>
            </w:r>
            <w:proofErr w:type="spellEnd"/>
          </w:p>
        </w:tc>
        <w:tc>
          <w:tcPr>
            <w:tcW w:w="1698" w:type="dxa"/>
            <w:tcBorders>
              <w:top w:val="nil"/>
              <w:left w:val="nil"/>
              <w:bottom w:val="single" w:sz="4" w:space="0" w:color="auto"/>
              <w:right w:val="single" w:sz="4" w:space="0" w:color="auto"/>
            </w:tcBorders>
            <w:shd w:val="clear" w:color="000000" w:fill="D9D9D9"/>
            <w:noWrap/>
            <w:vAlign w:val="center"/>
            <w:hideMark/>
          </w:tcPr>
          <w:p w14:paraId="68E4A246" w14:textId="77777777" w:rsidR="00A02D0F" w:rsidRPr="00A02D0F" w:rsidRDefault="00A02D0F" w:rsidP="00A02D0F">
            <w:r w:rsidRPr="00A02D0F">
              <w:t>3.136</w:t>
            </w:r>
          </w:p>
        </w:tc>
        <w:tc>
          <w:tcPr>
            <w:tcW w:w="1150" w:type="dxa"/>
            <w:tcBorders>
              <w:top w:val="nil"/>
              <w:left w:val="nil"/>
              <w:bottom w:val="single" w:sz="4" w:space="0" w:color="auto"/>
              <w:right w:val="single" w:sz="4" w:space="0" w:color="auto"/>
            </w:tcBorders>
            <w:shd w:val="clear" w:color="000000" w:fill="D9D9D9"/>
            <w:noWrap/>
            <w:vAlign w:val="bottom"/>
            <w:hideMark/>
          </w:tcPr>
          <w:p w14:paraId="26324EDE" w14:textId="77777777" w:rsidR="00A02D0F" w:rsidRPr="00A02D0F" w:rsidRDefault="00A02D0F" w:rsidP="00A02D0F">
            <w:r w:rsidRPr="00A02D0F">
              <w:t>28</w:t>
            </w:r>
          </w:p>
        </w:tc>
        <w:tc>
          <w:tcPr>
            <w:tcW w:w="1132" w:type="dxa"/>
            <w:tcBorders>
              <w:top w:val="nil"/>
              <w:left w:val="nil"/>
              <w:bottom w:val="single" w:sz="4" w:space="0" w:color="auto"/>
              <w:right w:val="single" w:sz="4" w:space="0" w:color="auto"/>
            </w:tcBorders>
            <w:shd w:val="clear" w:color="000000" w:fill="D9D9D9"/>
            <w:noWrap/>
            <w:vAlign w:val="bottom"/>
            <w:hideMark/>
          </w:tcPr>
          <w:p w14:paraId="730862A7" w14:textId="77777777" w:rsidR="00A02D0F" w:rsidRPr="00A02D0F" w:rsidRDefault="00A02D0F" w:rsidP="00A02D0F">
            <w:r w:rsidRPr="00A02D0F">
              <w:t>3</w:t>
            </w:r>
          </w:p>
        </w:tc>
        <w:tc>
          <w:tcPr>
            <w:tcW w:w="1406" w:type="dxa"/>
            <w:tcBorders>
              <w:top w:val="nil"/>
              <w:left w:val="nil"/>
              <w:bottom w:val="single" w:sz="4" w:space="0" w:color="auto"/>
              <w:right w:val="single" w:sz="4" w:space="0" w:color="auto"/>
            </w:tcBorders>
            <w:shd w:val="clear" w:color="000000" w:fill="D9D9D9"/>
            <w:noWrap/>
            <w:vAlign w:val="bottom"/>
            <w:hideMark/>
          </w:tcPr>
          <w:p w14:paraId="23BD8FDD" w14:textId="77777777" w:rsidR="00A02D0F" w:rsidRPr="00A02D0F" w:rsidRDefault="00A02D0F" w:rsidP="00A02D0F">
            <w:r w:rsidRPr="00A02D0F">
              <w:t>27</w:t>
            </w:r>
          </w:p>
        </w:tc>
        <w:tc>
          <w:tcPr>
            <w:tcW w:w="2374" w:type="dxa"/>
            <w:tcBorders>
              <w:top w:val="nil"/>
              <w:left w:val="nil"/>
              <w:bottom w:val="single" w:sz="4" w:space="0" w:color="auto"/>
              <w:right w:val="single" w:sz="4" w:space="0" w:color="auto"/>
            </w:tcBorders>
            <w:shd w:val="clear" w:color="000000" w:fill="D9D9D9"/>
            <w:noWrap/>
            <w:vAlign w:val="bottom"/>
            <w:hideMark/>
          </w:tcPr>
          <w:p w14:paraId="3A44DA0B" w14:textId="77777777" w:rsidR="00A02D0F" w:rsidRPr="00A02D0F" w:rsidRDefault="00A02D0F" w:rsidP="00A02D0F">
            <w:r w:rsidRPr="00A02D0F">
              <w:t>12</w:t>
            </w:r>
          </w:p>
        </w:tc>
      </w:tr>
      <w:tr w:rsidR="00A02D0F" w:rsidRPr="00A02D0F" w14:paraId="5BD5A671" w14:textId="77777777" w:rsidTr="00150210">
        <w:trPr>
          <w:trHeight w:val="253"/>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14:paraId="4DB179ED" w14:textId="5C0B0D18" w:rsidR="00A02D0F" w:rsidRPr="00A02D0F" w:rsidRDefault="00A02D0F" w:rsidP="00A02D0F">
            <w:proofErr w:type="spellStart"/>
            <w:r>
              <w:t>Leef</w:t>
            </w:r>
            <w:r w:rsidR="00FE5F6A">
              <w:t>G</w:t>
            </w:r>
            <w:r>
              <w:t>oed</w:t>
            </w:r>
            <w:proofErr w:type="spellEnd"/>
            <w:r>
              <w:t xml:space="preserve">: </w:t>
            </w:r>
            <w:r w:rsidRPr="00A02D0F">
              <w:t>Neteland</w:t>
            </w:r>
          </w:p>
        </w:tc>
        <w:tc>
          <w:tcPr>
            <w:tcW w:w="1698" w:type="dxa"/>
            <w:tcBorders>
              <w:top w:val="nil"/>
              <w:left w:val="nil"/>
              <w:bottom w:val="single" w:sz="4" w:space="0" w:color="auto"/>
              <w:right w:val="single" w:sz="4" w:space="0" w:color="auto"/>
            </w:tcBorders>
            <w:shd w:val="clear" w:color="auto" w:fill="auto"/>
            <w:noWrap/>
            <w:vAlign w:val="center"/>
            <w:hideMark/>
          </w:tcPr>
          <w:p w14:paraId="2C9F6512" w14:textId="77777777" w:rsidR="00A02D0F" w:rsidRPr="00A02D0F" w:rsidRDefault="00A02D0F" w:rsidP="00A02D0F">
            <w:r w:rsidRPr="00A02D0F">
              <w:t>2.200</w:t>
            </w:r>
          </w:p>
        </w:tc>
        <w:tc>
          <w:tcPr>
            <w:tcW w:w="1150" w:type="dxa"/>
            <w:tcBorders>
              <w:top w:val="nil"/>
              <w:left w:val="nil"/>
              <w:bottom w:val="single" w:sz="4" w:space="0" w:color="auto"/>
              <w:right w:val="single" w:sz="4" w:space="0" w:color="auto"/>
            </w:tcBorders>
            <w:shd w:val="clear" w:color="auto" w:fill="auto"/>
            <w:noWrap/>
            <w:vAlign w:val="bottom"/>
            <w:hideMark/>
          </w:tcPr>
          <w:p w14:paraId="79F5338F" w14:textId="77777777" w:rsidR="00A02D0F" w:rsidRPr="00A02D0F" w:rsidRDefault="00A02D0F" w:rsidP="00A02D0F">
            <w:r w:rsidRPr="00A02D0F">
              <w:t>20</w:t>
            </w:r>
          </w:p>
        </w:tc>
        <w:tc>
          <w:tcPr>
            <w:tcW w:w="1132" w:type="dxa"/>
            <w:tcBorders>
              <w:top w:val="nil"/>
              <w:left w:val="nil"/>
              <w:bottom w:val="single" w:sz="4" w:space="0" w:color="auto"/>
              <w:right w:val="single" w:sz="4" w:space="0" w:color="auto"/>
            </w:tcBorders>
            <w:shd w:val="clear" w:color="auto" w:fill="auto"/>
            <w:noWrap/>
            <w:vAlign w:val="bottom"/>
            <w:hideMark/>
          </w:tcPr>
          <w:p w14:paraId="4EC7F4DA" w14:textId="1F8B4FF2" w:rsidR="00A02D0F" w:rsidRPr="00A02D0F" w:rsidRDefault="00150210" w:rsidP="00A02D0F">
            <w:r>
              <w:t>2</w:t>
            </w:r>
          </w:p>
        </w:tc>
        <w:tc>
          <w:tcPr>
            <w:tcW w:w="1406" w:type="dxa"/>
            <w:tcBorders>
              <w:top w:val="nil"/>
              <w:left w:val="nil"/>
              <w:bottom w:val="single" w:sz="4" w:space="0" w:color="auto"/>
              <w:right w:val="single" w:sz="4" w:space="0" w:color="auto"/>
            </w:tcBorders>
            <w:shd w:val="clear" w:color="auto" w:fill="auto"/>
            <w:noWrap/>
            <w:vAlign w:val="bottom"/>
            <w:hideMark/>
          </w:tcPr>
          <w:p w14:paraId="68092B6E" w14:textId="77777777" w:rsidR="00A02D0F" w:rsidRPr="00A02D0F" w:rsidRDefault="00A02D0F" w:rsidP="00A02D0F">
            <w:r w:rsidRPr="00A02D0F">
              <w:t>19</w:t>
            </w:r>
          </w:p>
        </w:tc>
        <w:tc>
          <w:tcPr>
            <w:tcW w:w="2374" w:type="dxa"/>
            <w:tcBorders>
              <w:top w:val="nil"/>
              <w:left w:val="nil"/>
              <w:bottom w:val="single" w:sz="4" w:space="0" w:color="auto"/>
              <w:right w:val="single" w:sz="4" w:space="0" w:color="auto"/>
            </w:tcBorders>
            <w:shd w:val="clear" w:color="auto" w:fill="auto"/>
            <w:noWrap/>
            <w:vAlign w:val="bottom"/>
            <w:hideMark/>
          </w:tcPr>
          <w:p w14:paraId="42D40BCE" w14:textId="77777777" w:rsidR="00A02D0F" w:rsidRPr="00A02D0F" w:rsidRDefault="00A02D0F" w:rsidP="00A02D0F">
            <w:r w:rsidRPr="00A02D0F">
              <w:t>8</w:t>
            </w:r>
          </w:p>
        </w:tc>
      </w:tr>
      <w:tr w:rsidR="00A02D0F" w:rsidRPr="00A02D0F" w14:paraId="71914548" w14:textId="77777777" w:rsidTr="00150210">
        <w:trPr>
          <w:trHeight w:val="776"/>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14:paraId="0C2120F3" w14:textId="6FE10EF1" w:rsidR="00A02D0F" w:rsidRDefault="00A02D0F" w:rsidP="00A02D0F">
            <w:proofErr w:type="spellStart"/>
            <w:r>
              <w:t>Leef</w:t>
            </w:r>
            <w:r w:rsidR="00FE5F6A">
              <w:t>G</w:t>
            </w:r>
            <w:r>
              <w:t>oed</w:t>
            </w:r>
            <w:proofErr w:type="spellEnd"/>
            <w:r>
              <w:t>:</w:t>
            </w:r>
          </w:p>
          <w:p w14:paraId="2E5F1744" w14:textId="7AE05B72" w:rsidR="00A02D0F" w:rsidRPr="00A02D0F" w:rsidRDefault="00A02D0F" w:rsidP="00A02D0F">
            <w:r w:rsidRPr="00A02D0F">
              <w:t>Zuiderkempen</w:t>
            </w:r>
          </w:p>
        </w:tc>
        <w:tc>
          <w:tcPr>
            <w:tcW w:w="1698" w:type="dxa"/>
            <w:tcBorders>
              <w:top w:val="nil"/>
              <w:left w:val="nil"/>
              <w:bottom w:val="single" w:sz="4" w:space="0" w:color="auto"/>
              <w:right w:val="single" w:sz="4" w:space="0" w:color="auto"/>
            </w:tcBorders>
            <w:shd w:val="clear" w:color="auto" w:fill="auto"/>
            <w:noWrap/>
            <w:vAlign w:val="center"/>
            <w:hideMark/>
          </w:tcPr>
          <w:p w14:paraId="110C59DB" w14:textId="77777777" w:rsidR="00A02D0F" w:rsidRPr="00A02D0F" w:rsidRDefault="00A02D0F" w:rsidP="00A02D0F">
            <w:r w:rsidRPr="00A02D0F">
              <w:t>2.730</w:t>
            </w:r>
          </w:p>
        </w:tc>
        <w:tc>
          <w:tcPr>
            <w:tcW w:w="1150" w:type="dxa"/>
            <w:tcBorders>
              <w:top w:val="nil"/>
              <w:left w:val="nil"/>
              <w:bottom w:val="single" w:sz="4" w:space="0" w:color="auto"/>
              <w:right w:val="single" w:sz="4" w:space="0" w:color="auto"/>
            </w:tcBorders>
            <w:shd w:val="clear" w:color="auto" w:fill="auto"/>
            <w:noWrap/>
            <w:vAlign w:val="bottom"/>
            <w:hideMark/>
          </w:tcPr>
          <w:p w14:paraId="21DFEB58" w14:textId="77777777" w:rsidR="00A02D0F" w:rsidRPr="00A02D0F" w:rsidRDefault="00A02D0F" w:rsidP="00A02D0F">
            <w:r w:rsidRPr="00A02D0F">
              <w:t>24</w:t>
            </w:r>
          </w:p>
        </w:tc>
        <w:tc>
          <w:tcPr>
            <w:tcW w:w="1132" w:type="dxa"/>
            <w:tcBorders>
              <w:top w:val="nil"/>
              <w:left w:val="nil"/>
              <w:bottom w:val="single" w:sz="4" w:space="0" w:color="auto"/>
              <w:right w:val="single" w:sz="4" w:space="0" w:color="auto"/>
            </w:tcBorders>
            <w:shd w:val="clear" w:color="auto" w:fill="auto"/>
            <w:noWrap/>
            <w:vAlign w:val="bottom"/>
            <w:hideMark/>
          </w:tcPr>
          <w:p w14:paraId="26545F12" w14:textId="27C372FF" w:rsidR="00A02D0F" w:rsidRPr="00A02D0F" w:rsidRDefault="00150210" w:rsidP="00A02D0F">
            <w:r>
              <w:t>3</w:t>
            </w:r>
          </w:p>
        </w:tc>
        <w:tc>
          <w:tcPr>
            <w:tcW w:w="1406" w:type="dxa"/>
            <w:tcBorders>
              <w:top w:val="nil"/>
              <w:left w:val="nil"/>
              <w:bottom w:val="single" w:sz="4" w:space="0" w:color="auto"/>
              <w:right w:val="single" w:sz="4" w:space="0" w:color="auto"/>
            </w:tcBorders>
            <w:shd w:val="clear" w:color="auto" w:fill="auto"/>
            <w:noWrap/>
            <w:vAlign w:val="bottom"/>
            <w:hideMark/>
          </w:tcPr>
          <w:p w14:paraId="0DCFEFB0" w14:textId="77777777" w:rsidR="00A02D0F" w:rsidRPr="00A02D0F" w:rsidRDefault="00A02D0F" w:rsidP="00A02D0F">
            <w:r w:rsidRPr="00A02D0F">
              <w:t>24</w:t>
            </w:r>
          </w:p>
        </w:tc>
        <w:tc>
          <w:tcPr>
            <w:tcW w:w="2374" w:type="dxa"/>
            <w:tcBorders>
              <w:top w:val="nil"/>
              <w:left w:val="nil"/>
              <w:bottom w:val="single" w:sz="4" w:space="0" w:color="auto"/>
              <w:right w:val="single" w:sz="4" w:space="0" w:color="auto"/>
            </w:tcBorders>
            <w:shd w:val="clear" w:color="auto" w:fill="auto"/>
            <w:noWrap/>
            <w:vAlign w:val="bottom"/>
            <w:hideMark/>
          </w:tcPr>
          <w:p w14:paraId="7D2AE49D" w14:textId="77777777" w:rsidR="00A02D0F" w:rsidRPr="00A02D0F" w:rsidRDefault="00A02D0F" w:rsidP="00A02D0F">
            <w:r w:rsidRPr="00A02D0F">
              <w:t>10</w:t>
            </w:r>
          </w:p>
        </w:tc>
      </w:tr>
      <w:tr w:rsidR="00A02D0F" w:rsidRPr="00A02D0F" w14:paraId="45C70C65" w14:textId="77777777" w:rsidTr="00A02D0F">
        <w:trPr>
          <w:trHeight w:val="253"/>
        </w:trPr>
        <w:tc>
          <w:tcPr>
            <w:tcW w:w="2028" w:type="dxa"/>
            <w:tcBorders>
              <w:top w:val="nil"/>
              <w:left w:val="single" w:sz="4" w:space="0" w:color="auto"/>
              <w:bottom w:val="single" w:sz="4" w:space="0" w:color="auto"/>
              <w:right w:val="single" w:sz="4" w:space="0" w:color="auto"/>
            </w:tcBorders>
            <w:shd w:val="clear" w:color="auto" w:fill="auto"/>
            <w:noWrap/>
            <w:vAlign w:val="center"/>
            <w:hideMark/>
          </w:tcPr>
          <w:p w14:paraId="6D1BCADF" w14:textId="77777777" w:rsidR="00A02D0F" w:rsidRPr="00A02D0F" w:rsidRDefault="00A02D0F" w:rsidP="00A02D0F">
            <w:r w:rsidRPr="00A02D0F">
              <w:t> </w:t>
            </w:r>
          </w:p>
        </w:tc>
        <w:tc>
          <w:tcPr>
            <w:tcW w:w="1698" w:type="dxa"/>
            <w:tcBorders>
              <w:top w:val="nil"/>
              <w:left w:val="nil"/>
              <w:bottom w:val="single" w:sz="4" w:space="0" w:color="auto"/>
              <w:right w:val="single" w:sz="4" w:space="0" w:color="auto"/>
            </w:tcBorders>
            <w:shd w:val="clear" w:color="auto" w:fill="auto"/>
            <w:noWrap/>
            <w:vAlign w:val="center"/>
            <w:hideMark/>
          </w:tcPr>
          <w:p w14:paraId="5E42C69E" w14:textId="77777777" w:rsidR="00A02D0F" w:rsidRPr="00A02D0F" w:rsidRDefault="00A02D0F" w:rsidP="00A02D0F">
            <w:r w:rsidRPr="00A02D0F">
              <w:t>11.275</w:t>
            </w:r>
          </w:p>
        </w:tc>
        <w:tc>
          <w:tcPr>
            <w:tcW w:w="1150" w:type="dxa"/>
            <w:tcBorders>
              <w:top w:val="nil"/>
              <w:left w:val="nil"/>
              <w:bottom w:val="single" w:sz="4" w:space="0" w:color="auto"/>
              <w:right w:val="single" w:sz="4" w:space="0" w:color="auto"/>
            </w:tcBorders>
            <w:shd w:val="clear" w:color="auto" w:fill="auto"/>
            <w:noWrap/>
            <w:vAlign w:val="bottom"/>
            <w:hideMark/>
          </w:tcPr>
          <w:p w14:paraId="42CA941C" w14:textId="77777777" w:rsidR="00A02D0F" w:rsidRPr="00A02D0F" w:rsidRDefault="00A02D0F" w:rsidP="00A02D0F">
            <w:r w:rsidRPr="00A02D0F">
              <w:t> </w:t>
            </w:r>
          </w:p>
        </w:tc>
        <w:tc>
          <w:tcPr>
            <w:tcW w:w="1132" w:type="dxa"/>
            <w:tcBorders>
              <w:top w:val="nil"/>
              <w:left w:val="nil"/>
              <w:bottom w:val="single" w:sz="4" w:space="0" w:color="auto"/>
              <w:right w:val="single" w:sz="4" w:space="0" w:color="auto"/>
            </w:tcBorders>
            <w:shd w:val="clear" w:color="auto" w:fill="auto"/>
            <w:noWrap/>
            <w:vAlign w:val="bottom"/>
            <w:hideMark/>
          </w:tcPr>
          <w:p w14:paraId="70A0C18C" w14:textId="77777777" w:rsidR="00A02D0F" w:rsidRPr="00A02D0F" w:rsidRDefault="00A02D0F" w:rsidP="00A02D0F">
            <w:r w:rsidRPr="00A02D0F">
              <w:t>10</w:t>
            </w:r>
          </w:p>
        </w:tc>
        <w:tc>
          <w:tcPr>
            <w:tcW w:w="1406" w:type="dxa"/>
            <w:tcBorders>
              <w:top w:val="nil"/>
              <w:left w:val="nil"/>
              <w:bottom w:val="single" w:sz="4" w:space="0" w:color="auto"/>
              <w:right w:val="single" w:sz="4" w:space="0" w:color="auto"/>
            </w:tcBorders>
            <w:shd w:val="clear" w:color="auto" w:fill="auto"/>
            <w:noWrap/>
            <w:vAlign w:val="bottom"/>
            <w:hideMark/>
          </w:tcPr>
          <w:p w14:paraId="622E0DB8" w14:textId="77777777" w:rsidR="00A02D0F" w:rsidRPr="00A02D0F" w:rsidRDefault="00A02D0F" w:rsidP="00A02D0F">
            <w:r w:rsidRPr="00A02D0F">
              <w:t>98</w:t>
            </w:r>
          </w:p>
        </w:tc>
        <w:tc>
          <w:tcPr>
            <w:tcW w:w="2374" w:type="dxa"/>
            <w:tcBorders>
              <w:top w:val="nil"/>
              <w:left w:val="nil"/>
              <w:bottom w:val="single" w:sz="4" w:space="0" w:color="auto"/>
              <w:right w:val="single" w:sz="4" w:space="0" w:color="auto"/>
            </w:tcBorders>
            <w:shd w:val="clear" w:color="auto" w:fill="auto"/>
            <w:noWrap/>
            <w:vAlign w:val="bottom"/>
            <w:hideMark/>
          </w:tcPr>
          <w:p w14:paraId="1BD14169" w14:textId="77777777" w:rsidR="00A02D0F" w:rsidRPr="00A02D0F" w:rsidRDefault="00A02D0F" w:rsidP="00A02D0F">
            <w:r w:rsidRPr="00A02D0F">
              <w:t>42</w:t>
            </w:r>
          </w:p>
        </w:tc>
      </w:tr>
    </w:tbl>
    <w:p w14:paraId="07E573E3" w14:textId="089B74AE" w:rsidR="00A02D0F" w:rsidRDefault="00A02D0F" w:rsidP="00A02D0F"/>
    <w:p w14:paraId="4ED7E6F1" w14:textId="5E18EA17" w:rsidR="00A02D0F" w:rsidRDefault="00A02D0F" w:rsidP="00735B17">
      <w:pPr>
        <w:jc w:val="both"/>
      </w:pPr>
      <w:r>
        <w:t xml:space="preserve">Met de solidarisering van deze doelgroepen wensen we de druk op de residentiële setting verminderen zodat nieuwe cliënten kunnen instromen om te werken aan hun woonvaardigheden.  Daarnaast versterken we </w:t>
      </w:r>
      <w:r w:rsidR="00FE5F6A">
        <w:t>de</w:t>
      </w:r>
      <w:r>
        <w:t xml:space="preserve"> recentelijk opgestarte begeleidingen </w:t>
      </w:r>
      <w:proofErr w:type="spellStart"/>
      <w:r>
        <w:t>housing</w:t>
      </w:r>
      <w:proofErr w:type="spellEnd"/>
      <w:r>
        <w:t xml:space="preserve"> first en zetten we in op kinderarmoede door te kiezen voor de gezinnen in kansarmoede.</w:t>
      </w:r>
      <w:r w:rsidR="001F0C04">
        <w:t xml:space="preserve">  Aan deze toewijzingen is standaard een begeleidingsovereenkomst gekoppeld waarbij de begeleiding wordt opgenomen door een welzijnspartner.  </w:t>
      </w:r>
    </w:p>
    <w:p w14:paraId="25ADAC3B" w14:textId="38D4B000" w:rsidR="00A02D0F" w:rsidRDefault="00A02D0F" w:rsidP="00735B17">
      <w:pPr>
        <w:pStyle w:val="Kop1"/>
        <w:jc w:val="both"/>
      </w:pPr>
      <w:r>
        <w:t>Begeleiding</w:t>
      </w:r>
      <w:r w:rsidR="00033D2D">
        <w:t xml:space="preserve"> via een samenwerkingsmodel</w:t>
      </w:r>
    </w:p>
    <w:p w14:paraId="5EFC8C81" w14:textId="6800D1E2" w:rsidR="00A02D0F" w:rsidRDefault="001F0C04" w:rsidP="00735B17">
      <w:pPr>
        <w:jc w:val="both"/>
      </w:pPr>
      <w:r>
        <w:t>Omdat begeleiding v</w:t>
      </w:r>
      <w:r w:rsidRPr="001F0C04">
        <w:t xml:space="preserve">oor een deel van de doelgroep die versneld toegewezen wordt een cruciale factor </w:t>
      </w:r>
      <w:r>
        <w:t xml:space="preserve">is </w:t>
      </w:r>
      <w:r w:rsidRPr="001F0C04">
        <w:t>om op lange termijn tot een stabiele woonsituatie te komen</w:t>
      </w:r>
      <w:r>
        <w:t xml:space="preserve"> stelt de werkgroep </w:t>
      </w:r>
      <w:r w:rsidR="00E45DBC">
        <w:t xml:space="preserve">een getrapt systeem </w:t>
      </w:r>
      <w:r w:rsidR="00E45DBC">
        <w:lastRenderedPageBreak/>
        <w:t xml:space="preserve">van begeleiding voor in pijler 2.  </w:t>
      </w:r>
      <w:r w:rsidR="00033D2D">
        <w:t xml:space="preserve">Er wordt niet a priori met een begeleidingsovereenkomst gewerkt maar binnen het criterium ‘begeleiding door professionele actor’ wordt opgenomen dat de attesterende organisatie minimaal 2 jaar oproepbaar is door de woonmaatschappij om samen met de huurbegeleiding aanklampend te werken naar de cliënt.  </w:t>
      </w:r>
    </w:p>
    <w:p w14:paraId="1C5A5B31" w14:textId="77777777" w:rsidR="00FE5F6A" w:rsidRDefault="00FE5F6A" w:rsidP="00735B17">
      <w:pPr>
        <w:jc w:val="both"/>
      </w:pPr>
    </w:p>
    <w:p w14:paraId="7A6712D7" w14:textId="347712CA" w:rsidR="00735B17" w:rsidRPr="00735B17" w:rsidRDefault="00735B17" w:rsidP="00735B17">
      <w:pPr>
        <w:jc w:val="both"/>
      </w:pPr>
      <w:r>
        <w:t>De volledige</w:t>
      </w:r>
      <w:r w:rsidR="00FE5F6A">
        <w:t xml:space="preserve"> </w:t>
      </w:r>
      <w:hyperlink r:id="rId7" w:history="1">
        <w:r w:rsidR="00D77E26" w:rsidRPr="00D77E26">
          <w:rPr>
            <w:rStyle w:val="Hyperlink"/>
          </w:rPr>
          <w:t>visienota</w:t>
        </w:r>
      </w:hyperlink>
      <w:r>
        <w:t xml:space="preserve"> met</w:t>
      </w:r>
      <w:r w:rsidR="00D77E26">
        <w:t xml:space="preserve"> </w:t>
      </w:r>
      <w:r w:rsidR="00FE5F6A">
        <w:t xml:space="preserve"> </w:t>
      </w:r>
      <w:hyperlink r:id="rId8" w:history="1">
        <w:r w:rsidR="00D77E26" w:rsidRPr="00D77E26">
          <w:rPr>
            <w:rStyle w:val="Hyperlink"/>
          </w:rPr>
          <w:t>bijlagen</w:t>
        </w:r>
      </w:hyperlink>
      <w:r w:rsidR="00D77E26">
        <w:t xml:space="preserve"> zijn</w:t>
      </w:r>
      <w:r>
        <w:t xml:space="preserve"> te raadplegen via de linken.  </w:t>
      </w:r>
    </w:p>
    <w:p w14:paraId="43FAE93C" w14:textId="44B4EB84" w:rsidR="00033D2D" w:rsidRDefault="00033D2D" w:rsidP="00735B17">
      <w:pPr>
        <w:jc w:val="both"/>
      </w:pPr>
      <w:r>
        <w:t xml:space="preserve">Met dit voorstel wil de werkgroep de aanzet geven voor een sterk sociaal woonbeleid in de Kempen.  Door deze oefening over de woonmaatschappijen heen af te stemmen, naast de lokale invulling, vermijden we ongewenste effecten en geven de welzijnsactoren de tools om in te zetten op een doorstroombeleid.  </w:t>
      </w:r>
    </w:p>
    <w:p w14:paraId="3E653BF9" w14:textId="77777777" w:rsidR="00FE5F6A" w:rsidRPr="00FE5F6A" w:rsidRDefault="00FE5F6A" w:rsidP="00FE5F6A">
      <w:pPr>
        <w:jc w:val="both"/>
      </w:pPr>
      <w:bookmarkStart w:id="0" w:name="_Hlk134447420"/>
      <w:r w:rsidRPr="00FE5F6A">
        <w:t xml:space="preserve">De werkgroep zal dit samenwerkingsmodel nog verder versterken.  Er worden nog afspraken gemaakt over een </w:t>
      </w:r>
      <w:r w:rsidRPr="00FE5F6A">
        <w:rPr>
          <w:b/>
          <w:bCs/>
        </w:rPr>
        <w:t>systematisch overlegmodel op casusniveau om preventief te werken</w:t>
      </w:r>
      <w:r w:rsidRPr="00FE5F6A">
        <w:t xml:space="preserve">.  Daarnaast voorzien we nog een </w:t>
      </w:r>
      <w:r w:rsidRPr="00FE5F6A">
        <w:rPr>
          <w:b/>
          <w:bCs/>
        </w:rPr>
        <w:t>knipperlichtsysteem</w:t>
      </w:r>
      <w:r w:rsidRPr="00FE5F6A">
        <w:t xml:space="preserve"> voor een zeer beperkt</w:t>
      </w:r>
      <w:r w:rsidRPr="00FE5F6A">
        <w:rPr>
          <w:vertAlign w:val="superscript"/>
        </w:rPr>
        <w:footnoteReference w:id="2"/>
      </w:r>
      <w:r w:rsidRPr="00FE5F6A">
        <w:t xml:space="preserve"> aantal situaties.  Dit gaat over cliënten waarbij er ernstige indicaties zijn dat zelfstandig wonen op dat moment niet haalbaar is.  Zij kunnen, na overleg, enkel toegewezen worden met een begeleidingsovereenkomst.</w:t>
      </w:r>
    </w:p>
    <w:p w14:paraId="0A13887F" w14:textId="77777777" w:rsidR="00735B17" w:rsidRPr="00735B17" w:rsidRDefault="00735B17" w:rsidP="00735B17">
      <w:pPr>
        <w:jc w:val="both"/>
      </w:pPr>
      <w:bookmarkStart w:id="1" w:name="_Hlk134346224"/>
      <w:bookmarkEnd w:id="0"/>
      <w:r w:rsidRPr="00735B17">
        <w:t>Deze nota en sjablonen werden opgemaakt door Els Maes (Kempens Woonplatform) en Sanne Verheyen (Welzijnszorg Kempen) na een intensief traject met de breed samengestelde werkgroep:</w:t>
      </w:r>
    </w:p>
    <w:p w14:paraId="2A68239D" w14:textId="77777777" w:rsidR="00735B17" w:rsidRPr="00735B17" w:rsidRDefault="00735B17" w:rsidP="00735B17">
      <w:pPr>
        <w:numPr>
          <w:ilvl w:val="0"/>
          <w:numId w:val="1"/>
        </w:numPr>
        <w:ind w:left="714" w:hanging="357"/>
        <w:contextualSpacing/>
        <w:jc w:val="both"/>
      </w:pPr>
      <w:r w:rsidRPr="00735B17">
        <w:t xml:space="preserve">Bieke Cortens en Jef Dierckx (Bijzondere Jeugdzorg: De Waaiburg en Ter </w:t>
      </w:r>
      <w:proofErr w:type="spellStart"/>
      <w:r w:rsidRPr="00735B17">
        <w:t>Loke</w:t>
      </w:r>
      <w:proofErr w:type="spellEnd"/>
      <w:r w:rsidRPr="00735B17">
        <w:t>)</w:t>
      </w:r>
    </w:p>
    <w:p w14:paraId="782B0FB4" w14:textId="77777777" w:rsidR="00735B17" w:rsidRPr="00735B17" w:rsidRDefault="00735B17" w:rsidP="00735B17">
      <w:pPr>
        <w:numPr>
          <w:ilvl w:val="0"/>
          <w:numId w:val="1"/>
        </w:numPr>
        <w:ind w:left="714" w:hanging="357"/>
        <w:contextualSpacing/>
        <w:jc w:val="both"/>
      </w:pPr>
      <w:r w:rsidRPr="00735B17">
        <w:t>Jos Bortels, Mieke Mermans, Marc Wynants (CAW De Kempen)</w:t>
      </w:r>
    </w:p>
    <w:p w14:paraId="27066C25" w14:textId="77777777" w:rsidR="00735B17" w:rsidRPr="00735B17" w:rsidRDefault="00735B17" w:rsidP="00735B17">
      <w:pPr>
        <w:numPr>
          <w:ilvl w:val="0"/>
          <w:numId w:val="1"/>
        </w:numPr>
        <w:ind w:left="714" w:hanging="357"/>
        <w:contextualSpacing/>
        <w:jc w:val="both"/>
      </w:pPr>
      <w:r w:rsidRPr="00735B17">
        <w:t>Katleen Bols (IGS Wonen in de Stadregio)</w:t>
      </w:r>
    </w:p>
    <w:p w14:paraId="3C6F95BE" w14:textId="77777777" w:rsidR="00735B17" w:rsidRPr="00735B17" w:rsidRDefault="00735B17" w:rsidP="00735B17">
      <w:pPr>
        <w:numPr>
          <w:ilvl w:val="0"/>
          <w:numId w:val="1"/>
        </w:numPr>
        <w:ind w:left="714" w:hanging="357"/>
        <w:contextualSpacing/>
        <w:jc w:val="both"/>
      </w:pPr>
      <w:r w:rsidRPr="00735B17">
        <w:t>Sandy Blockx, Sem Erkens, Sylvie Hendrickx, Kathleen Mariën, Sien Verwimp (Lokale besturen Olen, Ravels, Turnhout, Mol en Herentals)</w:t>
      </w:r>
    </w:p>
    <w:p w14:paraId="1FD06CBF" w14:textId="77777777" w:rsidR="00735B17" w:rsidRPr="00735B17" w:rsidRDefault="00735B17" w:rsidP="00735B17">
      <w:pPr>
        <w:numPr>
          <w:ilvl w:val="0"/>
          <w:numId w:val="1"/>
        </w:numPr>
        <w:ind w:left="714" w:hanging="357"/>
        <w:contextualSpacing/>
        <w:jc w:val="both"/>
      </w:pPr>
      <w:r w:rsidRPr="00735B17">
        <w:t>Diane Geerts en Ann Van Herck (Netwerk Geestelijke Gezondheidszorg Kempen)</w:t>
      </w:r>
    </w:p>
    <w:p w14:paraId="19E8A33F" w14:textId="77777777" w:rsidR="00735B17" w:rsidRPr="00735B17" w:rsidRDefault="00735B17" w:rsidP="00735B17">
      <w:pPr>
        <w:numPr>
          <w:ilvl w:val="0"/>
          <w:numId w:val="1"/>
        </w:numPr>
        <w:ind w:left="714" w:hanging="357"/>
        <w:contextualSpacing/>
        <w:jc w:val="both"/>
      </w:pPr>
      <w:r w:rsidRPr="00735B17">
        <w:t>Chris Dielis (Verenigingen waar armen het woord nemen- SPAAK: ’t Antwoord)</w:t>
      </w:r>
    </w:p>
    <w:p w14:paraId="0CCB62C9" w14:textId="77777777" w:rsidR="00735B17" w:rsidRPr="00735B17" w:rsidRDefault="00735B17" w:rsidP="00735B17">
      <w:pPr>
        <w:numPr>
          <w:ilvl w:val="0"/>
          <w:numId w:val="1"/>
        </w:numPr>
        <w:ind w:left="714" w:hanging="357"/>
        <w:contextualSpacing/>
        <w:jc w:val="both"/>
      </w:pPr>
      <w:r w:rsidRPr="00735B17">
        <w:t xml:space="preserve">Frederik De </w:t>
      </w:r>
      <w:proofErr w:type="spellStart"/>
      <w:r w:rsidRPr="00735B17">
        <w:t>Baets</w:t>
      </w:r>
      <w:proofErr w:type="spellEnd"/>
      <w:r w:rsidRPr="00735B17">
        <w:t xml:space="preserve"> (VAPH- Ter </w:t>
      </w:r>
      <w:proofErr w:type="spellStart"/>
      <w:r w:rsidRPr="00735B17">
        <w:t>Loke</w:t>
      </w:r>
      <w:proofErr w:type="spellEnd"/>
      <w:r w:rsidRPr="00735B17">
        <w:t>)</w:t>
      </w:r>
    </w:p>
    <w:p w14:paraId="719963A7" w14:textId="77777777" w:rsidR="00735B17" w:rsidRPr="00735B17" w:rsidRDefault="00735B17" w:rsidP="00735B17">
      <w:pPr>
        <w:numPr>
          <w:ilvl w:val="0"/>
          <w:numId w:val="1"/>
        </w:numPr>
        <w:ind w:left="714" w:hanging="357"/>
        <w:contextualSpacing/>
        <w:jc w:val="both"/>
      </w:pPr>
      <w:r w:rsidRPr="00735B17">
        <w:t xml:space="preserve">Mieke </w:t>
      </w:r>
      <w:proofErr w:type="spellStart"/>
      <w:r w:rsidRPr="00735B17">
        <w:t>Dereymaecker</w:t>
      </w:r>
      <w:proofErr w:type="spellEnd"/>
      <w:r w:rsidRPr="00735B17">
        <w:t xml:space="preserve">, Ilse Vanhoof, Kris Vanlommel, Michelle Van Sprengel, Angela Buico en Sara Vallers (Woonmaatschappijen: De Noorderkempen, </w:t>
      </w:r>
      <w:proofErr w:type="spellStart"/>
      <w:r w:rsidRPr="00735B17">
        <w:t>Leefgoed</w:t>
      </w:r>
      <w:proofErr w:type="spellEnd"/>
      <w:r w:rsidRPr="00735B17">
        <w:t xml:space="preserve"> en Woonboog)</w:t>
      </w:r>
    </w:p>
    <w:p w14:paraId="248E1753" w14:textId="77777777" w:rsidR="00FE5F6A" w:rsidRDefault="00FE5F6A" w:rsidP="00735B17">
      <w:pPr>
        <w:jc w:val="both"/>
      </w:pPr>
    </w:p>
    <w:p w14:paraId="2490E512" w14:textId="5EE57A34" w:rsidR="00735B17" w:rsidRPr="00735B17" w:rsidRDefault="00735B17" w:rsidP="00735B17">
      <w:pPr>
        <w:jc w:val="both"/>
      </w:pPr>
      <w:r w:rsidRPr="00735B17">
        <w:t xml:space="preserve">Met ondersteuning van Wim Boone (Huurpunt), </w:t>
      </w:r>
      <w:proofErr w:type="spellStart"/>
      <w:r w:rsidRPr="00735B17">
        <w:t>Deira</w:t>
      </w:r>
      <w:proofErr w:type="spellEnd"/>
      <w:r w:rsidRPr="00735B17">
        <w:t xml:space="preserve"> De </w:t>
      </w:r>
      <w:proofErr w:type="spellStart"/>
      <w:r w:rsidRPr="00735B17">
        <w:t>Rijkcke</w:t>
      </w:r>
      <w:proofErr w:type="spellEnd"/>
      <w:r w:rsidRPr="00735B17">
        <w:t xml:space="preserve"> (Vereniging van Vlaamse Huisvestingsmaatschappijen)</w:t>
      </w:r>
      <w:r w:rsidR="00FE5F6A">
        <w:t xml:space="preserve">, </w:t>
      </w:r>
      <w:r w:rsidRPr="00735B17">
        <w:t xml:space="preserve">Joris </w:t>
      </w:r>
      <w:proofErr w:type="spellStart"/>
      <w:r w:rsidRPr="00735B17">
        <w:t>Deleenheer</w:t>
      </w:r>
      <w:proofErr w:type="spellEnd"/>
      <w:r w:rsidRPr="00735B17">
        <w:t xml:space="preserve"> (Vereniging van Vlaamse Steden en Gemeenten)</w:t>
      </w:r>
      <w:r w:rsidR="00FE5F6A">
        <w:t xml:space="preserve"> en Eric Nysmans (Welzijnszorg Kempen)</w:t>
      </w:r>
      <w:r w:rsidRPr="00735B17">
        <w:t>.</w:t>
      </w:r>
    </w:p>
    <w:p w14:paraId="65B0B07D" w14:textId="77777777" w:rsidR="00735B17" w:rsidRPr="00735B17" w:rsidRDefault="00735B17" w:rsidP="00735B17">
      <w:pPr>
        <w:jc w:val="both"/>
      </w:pPr>
      <w:r w:rsidRPr="00735B17">
        <w:t xml:space="preserve">We danken iedereen voor hun medewerking en we nodigen iedereen uit om deze visie te versterken in het belang van de kwetsbare huurder en krachtige buurten.  </w:t>
      </w:r>
      <w:bookmarkEnd w:id="1"/>
    </w:p>
    <w:p w14:paraId="75FF4030" w14:textId="77777777" w:rsidR="00E45DBC" w:rsidRPr="00A02D0F" w:rsidRDefault="00E45DBC" w:rsidP="00735B17">
      <w:pPr>
        <w:jc w:val="both"/>
      </w:pPr>
    </w:p>
    <w:sectPr w:rsidR="00E45DBC" w:rsidRPr="00A02D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737F" w14:textId="77777777" w:rsidR="009A6756" w:rsidRDefault="009A6756" w:rsidP="009A6756">
      <w:pPr>
        <w:spacing w:after="0" w:line="240" w:lineRule="auto"/>
      </w:pPr>
      <w:r>
        <w:separator/>
      </w:r>
    </w:p>
  </w:endnote>
  <w:endnote w:type="continuationSeparator" w:id="0">
    <w:p w14:paraId="054A17C9" w14:textId="77777777" w:rsidR="009A6756" w:rsidRDefault="009A6756" w:rsidP="009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3E2F" w14:textId="77777777" w:rsidR="009A6756" w:rsidRDefault="009A6756" w:rsidP="009A6756">
      <w:pPr>
        <w:spacing w:after="0" w:line="240" w:lineRule="auto"/>
      </w:pPr>
      <w:r>
        <w:separator/>
      </w:r>
    </w:p>
  </w:footnote>
  <w:footnote w:type="continuationSeparator" w:id="0">
    <w:p w14:paraId="582D556A" w14:textId="77777777" w:rsidR="009A6756" w:rsidRDefault="009A6756" w:rsidP="009A6756">
      <w:pPr>
        <w:spacing w:after="0" w:line="240" w:lineRule="auto"/>
      </w:pPr>
      <w:r>
        <w:continuationSeparator/>
      </w:r>
    </w:p>
  </w:footnote>
  <w:footnote w:id="1">
    <w:p w14:paraId="05004A2F" w14:textId="0FC9462B" w:rsidR="009A6756" w:rsidRDefault="009A6756" w:rsidP="009A6756">
      <w:pPr>
        <w:pStyle w:val="Voetnoottekst"/>
      </w:pPr>
      <w:r>
        <w:rPr>
          <w:rStyle w:val="Voetnootmarkering"/>
        </w:rPr>
        <w:footnoteRef/>
      </w:r>
      <w:r>
        <w:t xml:space="preserve"> </w:t>
      </w:r>
      <w:hyperlink r:id="rId1" w:history="1">
        <w:r w:rsidR="00D77E26" w:rsidRPr="00D77E26">
          <w:rPr>
            <w:rStyle w:val="Hyperlink"/>
          </w:rPr>
          <w:t>Bijlage 1: regelgevend kader</w:t>
        </w:r>
      </w:hyperlink>
    </w:p>
  </w:footnote>
  <w:footnote w:id="2">
    <w:p w14:paraId="4CBA8FEE" w14:textId="77777777" w:rsidR="00FE5F6A" w:rsidRDefault="00FE5F6A" w:rsidP="00FE5F6A">
      <w:pPr>
        <w:pStyle w:val="Voetnoottekst"/>
      </w:pPr>
      <w:r>
        <w:rPr>
          <w:rStyle w:val="Voetnootmarkering"/>
        </w:rPr>
        <w:footnoteRef/>
      </w:r>
      <w:r>
        <w:t xml:space="preserve"> Het attest ‘begeleiding door professionele actor’ vormt al een eerste filter. Hier wordt immers bevraagd of de kandidaat- huurder doorstroom klaar 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AD62" w14:textId="05E54B20" w:rsidR="00735B17" w:rsidRDefault="00735B17">
    <w:pPr>
      <w:pStyle w:val="Koptekst"/>
    </w:pPr>
    <w:r>
      <w:rPr>
        <w:noProof/>
      </w:rPr>
      <w:drawing>
        <wp:inline distT="0" distB="0" distL="0" distR="0" wp14:anchorId="4C1ED8DA" wp14:editId="798A8FD6">
          <wp:extent cx="1938655" cy="743585"/>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743585"/>
                  </a:xfrm>
                  <a:prstGeom prst="rect">
                    <a:avLst/>
                  </a:prstGeom>
                  <a:noFill/>
                </pic:spPr>
              </pic:pic>
            </a:graphicData>
          </a:graphic>
        </wp:inline>
      </w:drawing>
    </w:r>
    <w:r>
      <w:tab/>
    </w:r>
    <w:r>
      <w:tab/>
    </w:r>
    <w:r>
      <w:rPr>
        <w:noProof/>
      </w:rPr>
      <w:drawing>
        <wp:inline distT="0" distB="0" distL="0" distR="0" wp14:anchorId="1B1C60C3" wp14:editId="05B1BB59">
          <wp:extent cx="1261745" cy="81724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518D"/>
    <w:multiLevelType w:val="hybridMultilevel"/>
    <w:tmpl w:val="36466616"/>
    <w:lvl w:ilvl="0" w:tplc="D6C25EC4">
      <w:start w:val="1"/>
      <w:numFmt w:val="bullet"/>
      <w:lvlText w:val="-"/>
      <w:lvlJc w:val="left"/>
      <w:pPr>
        <w:ind w:left="720" w:hanging="360"/>
      </w:pPr>
      <w:rPr>
        <w:rFonts w:ascii="Calibri" w:eastAsiaTheme="minorHAnsi" w:hAnsi="Calibri" w:cs="Calibri"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14C3D4F"/>
    <w:multiLevelType w:val="hybridMultilevel"/>
    <w:tmpl w:val="757EFA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2586692">
    <w:abstractNumId w:val="0"/>
  </w:num>
  <w:num w:numId="2" w16cid:durableId="1797873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CE"/>
    <w:rsid w:val="00033D2D"/>
    <w:rsid w:val="00150210"/>
    <w:rsid w:val="001F0C04"/>
    <w:rsid w:val="005E3FCE"/>
    <w:rsid w:val="00640CD9"/>
    <w:rsid w:val="00735B17"/>
    <w:rsid w:val="00794B1B"/>
    <w:rsid w:val="00835B49"/>
    <w:rsid w:val="009A6756"/>
    <w:rsid w:val="00A02D0F"/>
    <w:rsid w:val="00C80848"/>
    <w:rsid w:val="00D77E26"/>
    <w:rsid w:val="00DA7628"/>
    <w:rsid w:val="00E45DBC"/>
    <w:rsid w:val="00FE5F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C1F4B"/>
  <w15:chartTrackingRefBased/>
  <w15:docId w15:val="{F27B0B3B-EF48-44D6-8F94-256D9A17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640CD9"/>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Kop2">
    <w:name w:val="heading 2"/>
    <w:basedOn w:val="Standaard"/>
    <w:next w:val="Standaard"/>
    <w:link w:val="Kop2Char"/>
    <w:autoRedefine/>
    <w:uiPriority w:val="9"/>
    <w:unhideWhenUsed/>
    <w:qFormat/>
    <w:rsid w:val="00C80848"/>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Kop3">
    <w:name w:val="heading 3"/>
    <w:basedOn w:val="Standaard"/>
    <w:next w:val="Standaard"/>
    <w:link w:val="Kop3Char"/>
    <w:autoRedefine/>
    <w:uiPriority w:val="9"/>
    <w:semiHidden/>
    <w:unhideWhenUsed/>
    <w:qFormat/>
    <w:rsid w:val="00DA7628"/>
    <w:pPr>
      <w:keepNext/>
      <w:keepLines/>
      <w:spacing w:before="40" w:after="0"/>
      <w:outlineLvl w:val="2"/>
    </w:pPr>
    <w:rPr>
      <w:rFonts w:asciiTheme="majorHAnsi" w:eastAsiaTheme="majorEastAsia" w:hAnsiTheme="majorHAnsi"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0CD9"/>
    <w:rPr>
      <w:rFonts w:asciiTheme="majorHAnsi" w:eastAsiaTheme="majorEastAsia" w:hAnsiTheme="majorHAnsi" w:cstheme="majorBidi"/>
      <w:color w:val="000000" w:themeColor="text1"/>
      <w:sz w:val="32"/>
      <w:szCs w:val="32"/>
    </w:rPr>
  </w:style>
  <w:style w:type="character" w:customStyle="1" w:styleId="Kop2Char">
    <w:name w:val="Kop 2 Char"/>
    <w:basedOn w:val="Standaardalinea-lettertype"/>
    <w:link w:val="Kop2"/>
    <w:uiPriority w:val="9"/>
    <w:rsid w:val="00C80848"/>
    <w:rPr>
      <w:rFonts w:asciiTheme="majorHAnsi" w:eastAsiaTheme="majorEastAsia" w:hAnsiTheme="majorHAnsi" w:cstheme="majorBidi"/>
      <w:color w:val="000000" w:themeColor="text1"/>
      <w:sz w:val="26"/>
      <w:szCs w:val="26"/>
    </w:rPr>
  </w:style>
  <w:style w:type="character" w:customStyle="1" w:styleId="Kop3Char">
    <w:name w:val="Kop 3 Char"/>
    <w:basedOn w:val="Standaardalinea-lettertype"/>
    <w:link w:val="Kop3"/>
    <w:uiPriority w:val="9"/>
    <w:semiHidden/>
    <w:rsid w:val="00DA7628"/>
    <w:rPr>
      <w:rFonts w:asciiTheme="majorHAnsi" w:eastAsiaTheme="majorEastAsia" w:hAnsiTheme="majorHAnsi" w:cstheme="majorBidi"/>
      <w:b/>
      <w:sz w:val="24"/>
      <w:szCs w:val="24"/>
    </w:rPr>
  </w:style>
  <w:style w:type="paragraph" w:styleId="Voetnoottekst">
    <w:name w:val="footnote text"/>
    <w:basedOn w:val="Standaard"/>
    <w:link w:val="VoetnoottekstChar"/>
    <w:uiPriority w:val="99"/>
    <w:semiHidden/>
    <w:unhideWhenUsed/>
    <w:rsid w:val="009A67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6756"/>
    <w:rPr>
      <w:sz w:val="20"/>
      <w:szCs w:val="20"/>
    </w:rPr>
  </w:style>
  <w:style w:type="character" w:styleId="Voetnootmarkering">
    <w:name w:val="footnote reference"/>
    <w:basedOn w:val="Standaardalinea-lettertype"/>
    <w:uiPriority w:val="99"/>
    <w:semiHidden/>
    <w:unhideWhenUsed/>
    <w:rsid w:val="009A6756"/>
    <w:rPr>
      <w:vertAlign w:val="superscript"/>
    </w:rPr>
  </w:style>
  <w:style w:type="character" w:styleId="Hyperlink">
    <w:name w:val="Hyperlink"/>
    <w:basedOn w:val="Standaardalinea-lettertype"/>
    <w:uiPriority w:val="99"/>
    <w:unhideWhenUsed/>
    <w:rsid w:val="009A6756"/>
    <w:rPr>
      <w:color w:val="0563C1" w:themeColor="hyperlink"/>
      <w:u w:val="single"/>
    </w:rPr>
  </w:style>
  <w:style w:type="character" w:styleId="GevolgdeHyperlink">
    <w:name w:val="FollowedHyperlink"/>
    <w:basedOn w:val="Standaardalinea-lettertype"/>
    <w:uiPriority w:val="99"/>
    <w:semiHidden/>
    <w:unhideWhenUsed/>
    <w:rsid w:val="009A6756"/>
    <w:rPr>
      <w:color w:val="954F72" w:themeColor="followedHyperlink"/>
      <w:u w:val="single"/>
    </w:rPr>
  </w:style>
  <w:style w:type="paragraph" w:styleId="Titel">
    <w:name w:val="Title"/>
    <w:basedOn w:val="Standaard"/>
    <w:next w:val="Standaard"/>
    <w:link w:val="TitelChar"/>
    <w:uiPriority w:val="10"/>
    <w:qFormat/>
    <w:rsid w:val="009A67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75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A6756"/>
    <w:pPr>
      <w:ind w:left="720"/>
      <w:contextualSpacing/>
    </w:pPr>
  </w:style>
  <w:style w:type="paragraph" w:styleId="Koptekst">
    <w:name w:val="header"/>
    <w:basedOn w:val="Standaard"/>
    <w:link w:val="KoptekstChar"/>
    <w:uiPriority w:val="99"/>
    <w:unhideWhenUsed/>
    <w:rsid w:val="00735B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5B17"/>
  </w:style>
  <w:style w:type="paragraph" w:styleId="Voettekst">
    <w:name w:val="footer"/>
    <w:basedOn w:val="Standaard"/>
    <w:link w:val="VoettekstChar"/>
    <w:uiPriority w:val="99"/>
    <w:unhideWhenUsed/>
    <w:rsid w:val="00735B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5B17"/>
  </w:style>
  <w:style w:type="character" w:styleId="Onopgelostemelding">
    <w:name w:val="Unresolved Mention"/>
    <w:basedOn w:val="Standaardalinea-lettertype"/>
    <w:uiPriority w:val="99"/>
    <w:semiHidden/>
    <w:unhideWhenUsed/>
    <w:rsid w:val="0073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zijnszorgkempen.be/wp-content/uploads/2023/05/20230512-Bijlagen-visienota-nieuw-toewijzingsmodel-1.docx" TargetMode="External"/><Relationship Id="rId3" Type="http://schemas.openxmlformats.org/officeDocument/2006/relationships/settings" Target="settings.xml"/><Relationship Id="rId7" Type="http://schemas.openxmlformats.org/officeDocument/2006/relationships/hyperlink" Target="https://welzijnszorgkempen.be/wp-content/uploads/2023/05/20230512-Visienota-nieuw-toewijzingsmodel-sociale-huu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lzijnszorgkempen.be/wp-content/uploads/2023/05/20230512-Bijlagen-visienota-nieuw-toewijzingsmodel-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1035</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Verheyen</dc:creator>
  <cp:keywords/>
  <dc:description/>
  <cp:lastModifiedBy>Lode Bertels</cp:lastModifiedBy>
  <cp:revision>5</cp:revision>
  <dcterms:created xsi:type="dcterms:W3CDTF">2023-05-08T11:04:00Z</dcterms:created>
  <dcterms:modified xsi:type="dcterms:W3CDTF">2023-05-09T10:31:00Z</dcterms:modified>
</cp:coreProperties>
</file>